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A528F" w:rsidR="00EB4988" w:rsidP="0938DEB3" w:rsidRDefault="00EB4988" w14:paraId="6F3DD7AB" w14:textId="45977536">
      <w:pPr>
        <w:pStyle w:val="Heading1"/>
        <w:spacing w:before="0" w:after="0"/>
        <w:rPr>
          <w:rFonts w:eastAsiaTheme="minorEastAsia"/>
        </w:rPr>
      </w:pPr>
      <w:r>
        <w:t>Actividad: Enfoque 7-1-7 y brotes en las noticias</w:t>
      </w:r>
    </w:p>
    <w:p w:rsidRPr="009A528F" w:rsidR="00EB4988" w:rsidP="0026325B" w:rsidRDefault="00EB4988" w14:paraId="17842671" w14:textId="77777777">
      <w:pPr>
        <w:pStyle w:val="Heading1"/>
        <w:spacing w:before="0" w:after="0"/>
      </w:pPr>
    </w:p>
    <w:p w:rsidRPr="009A528F" w:rsidR="0072302F" w:rsidP="0026325B" w:rsidRDefault="0072302F" w14:paraId="12004BFF" w14:textId="77777777">
      <w:pPr>
        <w:pStyle w:val="Heading2"/>
        <w:spacing w:before="0" w:after="0"/>
        <w:rPr>
          <w:sz w:val="12"/>
          <w:szCs w:val="12"/>
        </w:rPr>
      </w:pPr>
    </w:p>
    <w:p w:rsidRPr="009A528F" w:rsidR="0072302F" w:rsidP="00E30046" w:rsidRDefault="2A28D8D9" w14:paraId="2CCBC149" w14:textId="744BACB8">
      <w:pPr>
        <w:pStyle w:val="Heading2"/>
        <w:spacing w:before="0" w:after="0"/>
      </w:pPr>
      <w:r>
        <w:t>Escenario: fiebre tifoidea</w:t>
      </w:r>
    </w:p>
    <w:p w:rsidRPr="009A528F" w:rsidR="006F57C1" w:rsidP="006F57C1" w:rsidRDefault="00454949" w14:paraId="267CCCA7" w14:textId="51246A6B">
      <w:pPr>
        <w:pStyle w:val="Heading3"/>
      </w:pPr>
      <w:r>
        <w:t>Instrucciones</w:t>
      </w:r>
    </w:p>
    <w:p w:rsidRPr="009A528F" w:rsidR="004A39D0" w:rsidP="004A39D0" w:rsidRDefault="000A46A3" w14:paraId="35A324A0" w14:noSpellErr="1" w14:textId="149B116C">
      <w:pPr>
        <w:pStyle w:val="BodyText"/>
        <w:numPr>
          <w:ilvl w:val="0"/>
          <w:numId w:val="46"/>
        </w:numPr>
        <w:spacing w:after="0" w:line="240" w:lineRule="auto"/>
        <w:rPr>
          <w:sz w:val="22"/>
          <w:szCs w:val="22"/>
        </w:rPr>
      </w:pPr>
      <w:r w:rsidRPr="0B45EEC5" w:rsidR="6A3CA81F">
        <w:rPr>
          <w:sz w:val="22"/>
          <w:szCs w:val="22"/>
        </w:rPr>
        <w:t>Individualmente</w:t>
      </w:r>
      <w:r w:rsidRPr="0B45EEC5" w:rsidR="000A46A3">
        <w:rPr>
          <w:sz w:val="22"/>
          <w:szCs w:val="22"/>
        </w:rPr>
        <w:t xml:space="preserve"> </w:t>
      </w:r>
      <w:r w:rsidRPr="0B45EEC5" w:rsidR="000A46A3">
        <w:rPr>
          <w:b w:val="1"/>
          <w:bCs w:val="1"/>
          <w:sz w:val="22"/>
          <w:szCs w:val="22"/>
        </w:rPr>
        <w:t xml:space="preserve">lea </w:t>
      </w:r>
      <w:r w:rsidRPr="0B45EEC5" w:rsidR="000A46A3">
        <w:rPr>
          <w:sz w:val="22"/>
          <w:szCs w:val="22"/>
        </w:rPr>
        <w:t>los siguientes artículos de noticias.</w:t>
      </w:r>
    </w:p>
    <w:p w:rsidRPr="009A528F" w:rsidR="00EB4988" w:rsidP="00A65AB7" w:rsidRDefault="000A46A3" w14:paraId="4FC4000E" w14:textId="00EBC3D9">
      <w:pPr>
        <w:pStyle w:val="BodyText"/>
        <w:numPr>
          <w:ilvl w:val="0"/>
          <w:numId w:val="46"/>
        </w:numPr>
        <w:spacing w:after="0" w:line="240" w:lineRule="auto"/>
        <w:ind w:right="79"/>
        <w:rPr>
          <w:sz w:val="22"/>
          <w:szCs w:val="22"/>
        </w:rPr>
      </w:pPr>
      <w:r>
        <w:rPr>
          <w:sz w:val="22"/>
        </w:rPr>
        <w:t>En su grupo</w:t>
      </w:r>
      <w:r>
        <w:rPr>
          <w:b/>
          <w:sz w:val="22"/>
        </w:rPr>
        <w:t>, discuta</w:t>
      </w:r>
      <w:r>
        <w:rPr>
          <w:sz w:val="22"/>
        </w:rPr>
        <w:t xml:space="preserve"> la aplicación del enfoque 7-1-7 a la situación descrita en el artículo.</w:t>
      </w:r>
    </w:p>
    <w:p w:rsidR="6F4289D6" w:rsidP="7F4ABEA4" w:rsidRDefault="6F4289D6" w14:paraId="4CE08E8E" w14:textId="0D4C2134">
      <w:pPr>
        <w:pStyle w:val="BodyText"/>
        <w:numPr>
          <w:ilvl w:val="1"/>
          <w:numId w:val="46"/>
        </w:numPr>
        <w:spacing w:after="0" w:line="240" w:lineRule="auto"/>
        <w:rPr>
          <w:sz w:val="22"/>
          <w:szCs w:val="22"/>
        </w:rPr>
      </w:pPr>
      <w:r>
        <w:rPr>
          <w:sz w:val="22"/>
        </w:rPr>
        <w:t>¿Cómo podría haber sido útil usar el enfoque 7-1-7 en tiempo real en la fase temprana de la respuesta a este brote?</w:t>
      </w:r>
    </w:p>
    <w:p w:rsidRPr="00EB4988" w:rsidR="00EB4988" w:rsidP="00EB4988" w:rsidRDefault="00EB4988" w14:paraId="5E7484A1" w14:textId="763F577D">
      <w:pPr>
        <w:pStyle w:val="BodyText"/>
        <w:numPr>
          <w:ilvl w:val="1"/>
          <w:numId w:val="46"/>
        </w:numPr>
        <w:spacing w:after="0" w:line="240" w:lineRule="auto"/>
        <w:rPr>
          <w:sz w:val="22"/>
          <w:szCs w:val="22"/>
        </w:rPr>
      </w:pPr>
      <w:r>
        <w:rPr>
          <w:sz w:val="22"/>
        </w:rPr>
        <w:t>¿En qué niveles gubernamentales podría ser útil aplicar el enfoque 7-1-7 para este brote (por ejemplo, a nivel nacional, subnacional, múltiples áreas subnacionales) y por qué?</w:t>
      </w:r>
    </w:p>
    <w:p w:rsidRPr="009A528F" w:rsidR="00EB4988" w:rsidP="00EB4988" w:rsidRDefault="00EB4988" w14:paraId="13B7CDAF" w14:textId="3EC5A5A2">
      <w:pPr>
        <w:pStyle w:val="BodyText"/>
        <w:numPr>
          <w:ilvl w:val="1"/>
          <w:numId w:val="47"/>
        </w:numPr>
        <w:spacing w:after="0" w:line="240" w:lineRule="auto"/>
        <w:rPr>
          <w:sz w:val="22"/>
          <w:szCs w:val="22"/>
        </w:rPr>
      </w:pPr>
      <w:r>
        <w:rPr>
          <w:sz w:val="22"/>
        </w:rPr>
        <w:t>¿Cómo podrían utilizarse los hallazgos del 7-1-7 sobre este brote para informar las acciones y la planificación?</w:t>
      </w:r>
    </w:p>
    <w:p w:rsidRPr="00107852" w:rsidR="00107852" w:rsidP="4D58012B" w:rsidRDefault="256E1DC3" w14:paraId="3B9E91E2" w14:textId="2BCCE5C6">
      <w:pPr>
        <w:pStyle w:val="BodyText"/>
        <w:numPr>
          <w:ilvl w:val="0"/>
          <w:numId w:val="46"/>
        </w:numPr>
        <w:spacing w:after="0" w:line="240" w:lineRule="auto"/>
        <w:rPr>
          <w:sz w:val="22"/>
          <w:szCs w:val="22"/>
        </w:rPr>
      </w:pPr>
      <w:r>
        <w:rPr>
          <w:sz w:val="22"/>
        </w:rPr>
        <w:t>Use su imaginación o experiencia para responder si el artículo no tiene suficiente información.</w:t>
      </w:r>
    </w:p>
    <w:p w:rsidRPr="00107852" w:rsidR="00107852" w:rsidP="00107852" w:rsidRDefault="00EB4988" w14:paraId="2319B1D0" w14:textId="0EE523E2">
      <w:pPr>
        <w:pStyle w:val="BodyText"/>
        <w:numPr>
          <w:ilvl w:val="0"/>
          <w:numId w:val="46"/>
        </w:numPr>
        <w:spacing w:line="240" w:lineRule="auto"/>
        <w:rPr>
          <w:sz w:val="22"/>
          <w:szCs w:val="22"/>
        </w:rPr>
      </w:pPr>
      <w:r>
        <w:rPr>
          <w:sz w:val="22"/>
        </w:rPr>
        <w:t xml:space="preserve">En el plenario, </w:t>
      </w:r>
      <w:r>
        <w:rPr>
          <w:b/>
          <w:sz w:val="22"/>
        </w:rPr>
        <w:t>resuma</w:t>
      </w:r>
      <w:r>
        <w:rPr>
          <w:sz w:val="22"/>
        </w:rPr>
        <w:t xml:space="preserve"> brevemente el artículo y su discusión.</w:t>
      </w:r>
    </w:p>
    <w:p w:rsidRPr="009A528F" w:rsidR="0026325B" w:rsidP="0026325B" w:rsidRDefault="00EB4988" w14:paraId="73A03FEC" w14:textId="63DFAA5D">
      <w:pPr>
        <w:pStyle w:val="Heading3"/>
      </w:pPr>
      <w:r>
        <w:t>Artículo de noticias n.º 1</w:t>
      </w:r>
    </w:p>
    <w:p w:rsidRPr="009A528F" w:rsidR="006F57C1" w:rsidP="00EB4988" w:rsidRDefault="00813DFB" w14:paraId="03C80CFF" w14:textId="010FE9E5">
      <w:pPr>
        <w:rPr>
          <w:rFonts w:ascii="Arial" w:hAnsi="Arial" w:cs="Arial"/>
          <w:b/>
          <w:bCs/>
          <w:color w:val="3BB041" w:themeColor="accent1"/>
        </w:rPr>
      </w:pPr>
      <w:r>
        <w:rPr>
          <w:rFonts w:ascii="Arial" w:hAnsi="Arial"/>
          <w:b/>
          <w:color w:val="3BB041" w:themeColor="accent1"/>
        </w:rPr>
        <w:t xml:space="preserve">Más de 20 residentes de </w:t>
      </w:r>
      <w:proofErr w:type="spellStart"/>
      <w:r>
        <w:rPr>
          <w:rFonts w:ascii="Arial" w:hAnsi="Arial"/>
          <w:b/>
          <w:color w:val="3BB041" w:themeColor="accent1"/>
        </w:rPr>
        <w:t>Barili</w:t>
      </w:r>
      <w:proofErr w:type="spellEnd"/>
      <w:r>
        <w:rPr>
          <w:rFonts w:ascii="Arial" w:hAnsi="Arial"/>
          <w:b/>
          <w:color w:val="3BB041" w:themeColor="accent1"/>
        </w:rPr>
        <w:t>, Cebú sufren de fiebre tifoidea</w:t>
      </w:r>
    </w:p>
    <w:p w:rsidRPr="00A629D8" w:rsidR="00A629D8" w:rsidP="00A629D8" w:rsidRDefault="00E23D3A" w14:paraId="2DA1719F" w14:textId="3A733C77">
      <w:pPr>
        <w:rPr>
          <w:rFonts w:ascii="Arial" w:hAnsi="Arial" w:cs="Arial" w:eastAsiaTheme="minorHAnsi"/>
        </w:rPr>
      </w:pPr>
      <w:r>
        <w:rPr>
          <w:rFonts w:ascii="Arial" w:hAnsi="Arial"/>
        </w:rPr>
        <w:t xml:space="preserve">GMA Regional TV | Por Fe Marie </w:t>
      </w:r>
      <w:proofErr w:type="spellStart"/>
      <w:r>
        <w:rPr>
          <w:rFonts w:ascii="Arial" w:hAnsi="Arial"/>
        </w:rPr>
        <w:t>Dumaboc</w:t>
      </w:r>
      <w:proofErr w:type="spellEnd"/>
      <w:r>
        <w:rPr>
          <w:rFonts w:ascii="Arial" w:hAnsi="Arial"/>
        </w:rPr>
        <w:t xml:space="preserve"> | 1 de febrero de 2025</w:t>
      </w:r>
    </w:p>
    <w:p w:rsidR="00A629D8" w:rsidP="00A629D8" w:rsidRDefault="00A629D8" w14:paraId="2590A027" w14:textId="77777777">
      <w:pPr>
        <w:widowControl/>
        <w:adjustRightInd w:val="0"/>
        <w:rPr>
          <w:rFonts w:ascii="AppleSystemUIFont" w:hAnsi="AppleSystemUIFont" w:cs="AppleSystemUIFont" w:eastAsiaTheme="minorHAnsi"/>
          <w:sz w:val="26"/>
          <w:szCs w:val="26"/>
        </w:rPr>
      </w:pPr>
    </w:p>
    <w:p w:rsidRPr="00AA7EDD" w:rsidR="00A629D8" w:rsidP="00A629D8" w:rsidRDefault="00A629D8" w14:paraId="385CC545" w14:textId="77777777">
      <w:pPr>
        <w:widowControl/>
        <w:adjustRightInd w:val="0"/>
        <w:rPr>
          <w:rFonts w:ascii="Arial" w:hAnsi="Arial" w:cs="Arial" w:eastAsiaTheme="minorHAnsi"/>
          <w:i/>
          <w:iCs/>
        </w:rPr>
      </w:pPr>
      <w:r>
        <w:rPr>
          <w:rFonts w:ascii="Arial" w:hAnsi="Arial"/>
          <w:i/>
        </w:rPr>
        <w:t xml:space="preserve">Más de 20 residentes de la ciudad de </w:t>
      </w:r>
      <w:proofErr w:type="spellStart"/>
      <w:r>
        <w:rPr>
          <w:rFonts w:ascii="Arial" w:hAnsi="Arial"/>
          <w:i/>
        </w:rPr>
        <w:t>Barili</w:t>
      </w:r>
      <w:proofErr w:type="spellEnd"/>
      <w:r>
        <w:rPr>
          <w:rFonts w:ascii="Arial" w:hAnsi="Arial"/>
          <w:i/>
        </w:rPr>
        <w:t>, provincia de Cebú al sur contrajeron fiebre tifoidea.</w:t>
      </w:r>
    </w:p>
    <w:p w:rsidRPr="00AA7EDD" w:rsidR="00A629D8" w:rsidP="00A629D8" w:rsidRDefault="00A629D8" w14:paraId="5A08BE62" w14:textId="77777777">
      <w:pPr>
        <w:widowControl/>
        <w:adjustRightInd w:val="0"/>
        <w:rPr>
          <w:rFonts w:ascii="Arial" w:hAnsi="Arial" w:cs="Arial" w:eastAsiaTheme="minorHAnsi"/>
          <w:i/>
          <w:iCs/>
        </w:rPr>
      </w:pPr>
    </w:p>
    <w:p w:rsidR="00D259CF" w:rsidP="00A629D8" w:rsidRDefault="00A629D8" w14:paraId="369B8BD1" w14:textId="68C7C283">
      <w:pPr>
        <w:widowControl/>
        <w:adjustRightInd w:val="0"/>
        <w:rPr>
          <w:rFonts w:ascii="Arial" w:hAnsi="Arial" w:cs="Arial" w:eastAsiaTheme="minorHAnsi"/>
          <w:i/>
          <w:iCs/>
        </w:rPr>
      </w:pPr>
      <w:r>
        <w:rPr>
          <w:rFonts w:ascii="Arial" w:hAnsi="Arial"/>
          <w:i/>
        </w:rPr>
        <w:t xml:space="preserve">El presidente de Barangay </w:t>
      </w:r>
      <w:proofErr w:type="spellStart"/>
      <w:r>
        <w:rPr>
          <w:rFonts w:ascii="Arial" w:hAnsi="Arial"/>
          <w:i/>
        </w:rPr>
        <w:t>Gunting</w:t>
      </w:r>
      <w:proofErr w:type="spellEnd"/>
      <w:r>
        <w:rPr>
          <w:rFonts w:ascii="Arial" w:hAnsi="Arial"/>
          <w:i/>
        </w:rPr>
        <w:t xml:space="preserve">, </w:t>
      </w:r>
      <w:proofErr w:type="spellStart"/>
      <w:r>
        <w:rPr>
          <w:rFonts w:ascii="Arial" w:hAnsi="Arial"/>
          <w:i/>
        </w:rPr>
        <w:t>Crisiolo</w:t>
      </w:r>
      <w:proofErr w:type="spellEnd"/>
      <w:r>
        <w:rPr>
          <w:rFonts w:ascii="Arial" w:hAnsi="Arial"/>
          <w:i/>
        </w:rPr>
        <w:t xml:space="preserve"> </w:t>
      </w:r>
      <w:proofErr w:type="spellStart"/>
      <w:r>
        <w:rPr>
          <w:rFonts w:ascii="Arial" w:hAnsi="Arial"/>
          <w:i/>
        </w:rPr>
        <w:t>Superales</w:t>
      </w:r>
      <w:proofErr w:type="spellEnd"/>
      <w:r>
        <w:rPr>
          <w:rFonts w:ascii="Arial" w:hAnsi="Arial"/>
          <w:i/>
        </w:rPr>
        <w:t xml:space="preserve"> Jr., confirmó que los residentes exhibían fiebre alta, vómitos, diarrea y dolores de estómago. Otros sufrían de fiebre alta que persistió durante unos cuatro días. </w:t>
      </w:r>
      <w:proofErr w:type="spellStart"/>
      <w:r>
        <w:rPr>
          <w:rFonts w:ascii="Arial" w:hAnsi="Arial"/>
          <w:i/>
        </w:rPr>
        <w:t>Superales</w:t>
      </w:r>
      <w:proofErr w:type="spellEnd"/>
      <w:r>
        <w:rPr>
          <w:rFonts w:ascii="Arial" w:hAnsi="Arial"/>
          <w:i/>
        </w:rPr>
        <w:t xml:space="preserve"> dijo que al principio tuvieron que persuadir a los residentes para que buscaran tratamiento en la enfermería de la ciudad.</w:t>
      </w:r>
    </w:p>
    <w:p w:rsidR="00D259CF" w:rsidP="00A629D8" w:rsidRDefault="00D259CF" w14:paraId="6FDEBAD6" w14:textId="77777777">
      <w:pPr>
        <w:widowControl/>
        <w:adjustRightInd w:val="0"/>
        <w:rPr>
          <w:rFonts w:ascii="Arial" w:hAnsi="Arial" w:cs="Arial" w:eastAsiaTheme="minorHAnsi"/>
          <w:i/>
          <w:iCs/>
        </w:rPr>
      </w:pPr>
    </w:p>
    <w:p w:rsidRPr="00AA7EDD" w:rsidR="00A629D8" w:rsidP="00A629D8" w:rsidRDefault="00A629D8" w14:paraId="1EB69F35" w14:textId="67541A6A">
      <w:pPr>
        <w:widowControl/>
        <w:adjustRightInd w:val="0"/>
        <w:rPr>
          <w:rFonts w:ascii="Arial" w:hAnsi="Arial" w:cs="Arial" w:eastAsiaTheme="minorHAnsi"/>
          <w:i/>
          <w:iCs/>
        </w:rPr>
      </w:pPr>
      <w:r>
        <w:rPr>
          <w:rFonts w:ascii="Arial" w:hAnsi="Arial"/>
          <w:i/>
        </w:rPr>
        <w:t xml:space="preserve">Según miembros del personal de la enfermería Marlon F. García, la admisión de residentes con fiebre tifoidea, una infección potencialmente mortal causada por la bacteria Salmonella </w:t>
      </w:r>
      <w:proofErr w:type="spellStart"/>
      <w:r>
        <w:rPr>
          <w:rFonts w:ascii="Arial" w:hAnsi="Arial"/>
          <w:i/>
        </w:rPr>
        <w:t>typhi</w:t>
      </w:r>
      <w:proofErr w:type="spellEnd"/>
      <w:r>
        <w:rPr>
          <w:rFonts w:ascii="Arial" w:hAnsi="Arial"/>
          <w:i/>
        </w:rPr>
        <w:t xml:space="preserve"> y que se propaga a través del agua y alimentos contaminados, comenzó el 20 de enero de 2025. La enfermería registró al menos 27 casos de fiebre tifoidea. El paciente más joven tiene unos cuatro años. De los 27 casos, dos fueron remitidos a hospitales de </w:t>
      </w:r>
      <w:proofErr w:type="spellStart"/>
      <w:r>
        <w:rPr>
          <w:rFonts w:ascii="Arial" w:hAnsi="Arial"/>
          <w:i/>
        </w:rPr>
        <w:t>Carcar</w:t>
      </w:r>
      <w:proofErr w:type="spellEnd"/>
      <w:r>
        <w:rPr>
          <w:rFonts w:ascii="Arial" w:hAnsi="Arial"/>
          <w:i/>
        </w:rPr>
        <w:t xml:space="preserve"> City y </w:t>
      </w:r>
      <w:proofErr w:type="spellStart"/>
      <w:r>
        <w:rPr>
          <w:rFonts w:ascii="Arial" w:hAnsi="Arial"/>
          <w:i/>
        </w:rPr>
        <w:t>Talisay</w:t>
      </w:r>
      <w:proofErr w:type="spellEnd"/>
      <w:r>
        <w:rPr>
          <w:rFonts w:ascii="Arial" w:hAnsi="Arial"/>
          <w:i/>
        </w:rPr>
        <w:t xml:space="preserve"> City. Se supo que uno de ellos ya había sido dado de alta.</w:t>
      </w:r>
    </w:p>
    <w:p w:rsidRPr="00AA7EDD" w:rsidR="00A629D8" w:rsidP="00A629D8" w:rsidRDefault="00A629D8" w14:paraId="5F067763" w14:textId="77777777">
      <w:pPr>
        <w:widowControl/>
        <w:adjustRightInd w:val="0"/>
        <w:rPr>
          <w:rFonts w:ascii="Arial" w:hAnsi="Arial" w:cs="Arial" w:eastAsiaTheme="minorHAnsi"/>
          <w:i/>
          <w:iCs/>
        </w:rPr>
      </w:pPr>
    </w:p>
    <w:p w:rsidR="00D259CF" w:rsidP="00A629D8" w:rsidRDefault="00A629D8" w14:paraId="2EB85348" w14:textId="3584B0BF">
      <w:pPr>
        <w:widowControl/>
        <w:adjustRightInd w:val="0"/>
        <w:rPr>
          <w:rFonts w:ascii="Arial" w:hAnsi="Arial" w:cs="Arial" w:eastAsiaTheme="minorHAnsi"/>
          <w:i/>
          <w:iCs/>
        </w:rPr>
      </w:pPr>
      <w:r>
        <w:rPr>
          <w:rFonts w:ascii="Arial" w:hAnsi="Arial"/>
          <w:i/>
        </w:rPr>
        <w:t xml:space="preserve">Al momento de escribir este artículo, hay ocho pacientes que se recuperan de la fiebre tifoidea en la enfermería. </w:t>
      </w:r>
      <w:proofErr w:type="spellStart"/>
      <w:r>
        <w:rPr>
          <w:rFonts w:ascii="Arial" w:hAnsi="Arial"/>
          <w:i/>
        </w:rPr>
        <w:t>Superales</w:t>
      </w:r>
      <w:proofErr w:type="spellEnd"/>
      <w:r>
        <w:rPr>
          <w:rFonts w:ascii="Arial" w:hAnsi="Arial"/>
          <w:i/>
        </w:rPr>
        <w:t xml:space="preserve"> dijo que las pruebas de fiebre tifoidea se ofrecen de forma gratuita en la enfermería. Él mismo también dio positivo de fiebre tifoidea el 24 de enero de 2025, y se ha recuperado completamente. No se reportaron muertes, lo que hizo que </w:t>
      </w:r>
      <w:proofErr w:type="spellStart"/>
      <w:r>
        <w:rPr>
          <w:rFonts w:ascii="Arial" w:hAnsi="Arial"/>
          <w:i/>
        </w:rPr>
        <w:t>Superales</w:t>
      </w:r>
      <w:proofErr w:type="spellEnd"/>
      <w:r>
        <w:rPr>
          <w:rFonts w:ascii="Arial" w:hAnsi="Arial"/>
          <w:i/>
        </w:rPr>
        <w:t xml:space="preserve"> y su consejo estuvieran agradecidos.</w:t>
      </w:r>
    </w:p>
    <w:p w:rsidR="00D259CF" w:rsidP="00A629D8" w:rsidRDefault="00D259CF" w14:paraId="239A05BA" w14:textId="77777777">
      <w:pPr>
        <w:widowControl/>
        <w:adjustRightInd w:val="0"/>
        <w:rPr>
          <w:rFonts w:ascii="Arial" w:hAnsi="Arial" w:cs="Arial" w:eastAsiaTheme="minorHAnsi"/>
          <w:i/>
          <w:iCs/>
        </w:rPr>
      </w:pPr>
    </w:p>
    <w:p w:rsidR="00A65AB7" w:rsidP="3BF769B3" w:rsidRDefault="00A65AB7" w14:paraId="14775051" w14:textId="70DCE500">
      <w:pPr>
        <w:widowControl w:val="1"/>
        <w:adjustRightInd w:val="0"/>
        <w:rPr>
          <w:rFonts w:ascii="Arial" w:hAnsi="Arial"/>
          <w:i w:val="1"/>
          <w:iCs w:val="1"/>
        </w:rPr>
      </w:pPr>
      <w:r w:rsidRPr="3BF769B3" w:rsidR="00A629D8">
        <w:rPr>
          <w:rFonts w:ascii="Arial" w:hAnsi="Arial"/>
          <w:i w:val="1"/>
          <w:iCs w:val="1"/>
        </w:rPr>
        <w:t xml:space="preserve">Para aumentar el recuento de pacientes, </w:t>
      </w:r>
      <w:r w:rsidRPr="3BF769B3" w:rsidR="00A629D8">
        <w:rPr>
          <w:rFonts w:ascii="Arial" w:hAnsi="Arial"/>
          <w:i w:val="1"/>
          <w:iCs w:val="1"/>
        </w:rPr>
        <w:t>Superales</w:t>
      </w:r>
      <w:r w:rsidRPr="3BF769B3" w:rsidR="00A629D8">
        <w:rPr>
          <w:rFonts w:ascii="Arial" w:hAnsi="Arial"/>
          <w:i w:val="1"/>
          <w:iCs w:val="1"/>
        </w:rPr>
        <w:t xml:space="preserve"> y otros funcionarios de barangay alentaron a los residentes que han experimentado los síntomas a hacerse un chequeo médico de inmediato. </w:t>
      </w:r>
      <w:r w:rsidRPr="3BF769B3" w:rsidR="00A629D8">
        <w:rPr>
          <w:rFonts w:ascii="Arial" w:hAnsi="Arial"/>
          <w:i w:val="1"/>
          <w:iCs w:val="1"/>
        </w:rPr>
        <w:t>Superales</w:t>
      </w:r>
      <w:r w:rsidRPr="3BF769B3" w:rsidR="00A629D8">
        <w:rPr>
          <w:rFonts w:ascii="Arial" w:hAnsi="Arial"/>
          <w:i w:val="1"/>
          <w:iCs w:val="1"/>
        </w:rPr>
        <w:t xml:space="preserve"> agregó que el alcalde de </w:t>
      </w:r>
      <w:r w:rsidRPr="3BF769B3" w:rsidR="00A629D8">
        <w:rPr>
          <w:rFonts w:ascii="Arial" w:hAnsi="Arial"/>
          <w:i w:val="1"/>
          <w:iCs w:val="1"/>
        </w:rPr>
        <w:t>Barili</w:t>
      </w:r>
      <w:r w:rsidRPr="3BF769B3" w:rsidR="00A629D8">
        <w:rPr>
          <w:rFonts w:ascii="Arial" w:hAnsi="Arial"/>
          <w:i w:val="1"/>
          <w:iCs w:val="1"/>
        </w:rPr>
        <w:t xml:space="preserve">, Pablo John </w:t>
      </w:r>
      <w:r w:rsidRPr="3BF769B3" w:rsidR="00A629D8">
        <w:rPr>
          <w:rFonts w:ascii="Arial" w:hAnsi="Arial"/>
          <w:i w:val="1"/>
          <w:iCs w:val="1"/>
        </w:rPr>
        <w:t>Garcia</w:t>
      </w:r>
      <w:r w:rsidRPr="3BF769B3" w:rsidR="00A629D8">
        <w:rPr>
          <w:rFonts w:ascii="Arial" w:hAnsi="Arial"/>
          <w:i w:val="1"/>
          <w:iCs w:val="1"/>
        </w:rPr>
        <w:t xml:space="preserve"> IV, ya ha ordenado una investigación sobre la causa del incidente…</w:t>
      </w:r>
    </w:p>
    <w:p w:rsidRPr="00AA7EDD" w:rsidR="00A65AB7" w:rsidP="00A629D8" w:rsidRDefault="00A65AB7" w14:paraId="7E65D32B" w14:textId="77777777">
      <w:pPr>
        <w:widowControl/>
        <w:adjustRightInd w:val="0"/>
        <w:rPr>
          <w:rFonts w:ascii="Arial" w:hAnsi="Arial" w:cs="Arial" w:eastAsiaTheme="minorHAnsi"/>
          <w:i/>
          <w:iCs/>
        </w:rPr>
      </w:pPr>
    </w:p>
    <w:p w:rsidR="006C0638" w:rsidP="00A629D8" w:rsidRDefault="006C0638" w14:paraId="70C387E4" w14:textId="77777777">
      <w:pPr>
        <w:widowControl/>
        <w:adjustRightInd w:val="0"/>
        <w:rPr>
          <w:rFonts w:ascii="Arial" w:hAnsi="Arial" w:cs="Arial" w:eastAsiaTheme="minorHAnsi"/>
          <w:i/>
          <w:iCs/>
        </w:rPr>
      </w:pPr>
    </w:p>
    <w:p w:rsidRPr="00AA7EDD" w:rsidR="00A629D8" w:rsidP="00A629D8" w:rsidRDefault="006C0638" w14:paraId="4341A399" w14:textId="214DF3EC">
      <w:pPr>
        <w:widowControl/>
        <w:adjustRightInd w:val="0"/>
        <w:rPr>
          <w:rFonts w:ascii="Arial" w:hAnsi="Arial" w:cs="Arial" w:eastAsiaTheme="minorHAnsi"/>
          <w:i/>
          <w:iCs/>
        </w:rPr>
      </w:pPr>
      <w:r>
        <w:rPr>
          <w:rFonts w:ascii="Arial" w:hAnsi="Arial"/>
          <w:i/>
        </w:rPr>
        <w:lastRenderedPageBreak/>
        <w:t xml:space="preserve">…En una publicación en su cuenta oficial de redes sociales, reveló que una investigación por parte del Centro de Atención Primaria de </w:t>
      </w:r>
      <w:proofErr w:type="spellStart"/>
      <w:r>
        <w:rPr>
          <w:rFonts w:ascii="Arial" w:hAnsi="Arial"/>
          <w:i/>
        </w:rPr>
        <w:t>Barili</w:t>
      </w:r>
      <w:proofErr w:type="spellEnd"/>
      <w:r>
        <w:rPr>
          <w:rFonts w:ascii="Arial" w:hAnsi="Arial"/>
          <w:i/>
        </w:rPr>
        <w:t xml:space="preserve"> (Unidad de Salud Rural) está trabajando para establecer la fuente de contaminación. Se revisaron las fuentes de agua, así como las casas sin instalaciones sanitarias y los alrededores que supuestamente se limpian regularmente. El Centro de Atención Primaria de </w:t>
      </w:r>
      <w:proofErr w:type="spellStart"/>
      <w:r>
        <w:rPr>
          <w:rFonts w:ascii="Arial" w:hAnsi="Arial"/>
          <w:i/>
        </w:rPr>
        <w:t>Barili</w:t>
      </w:r>
      <w:proofErr w:type="spellEnd"/>
      <w:r>
        <w:rPr>
          <w:rFonts w:ascii="Arial" w:hAnsi="Arial"/>
          <w:i/>
        </w:rPr>
        <w:t xml:space="preserve"> ha comenzado a distribuir tabletas purificadoras de agua a los residentes. La Dependencia de Gobierno Local de </w:t>
      </w:r>
      <w:proofErr w:type="spellStart"/>
      <w:r>
        <w:rPr>
          <w:rFonts w:ascii="Arial" w:hAnsi="Arial"/>
          <w:i/>
        </w:rPr>
        <w:t>Barili</w:t>
      </w:r>
      <w:proofErr w:type="spellEnd"/>
      <w:r>
        <w:rPr>
          <w:rFonts w:ascii="Arial" w:hAnsi="Arial"/>
          <w:i/>
        </w:rPr>
        <w:t xml:space="preserve"> también ha iniciado el suministro de agua clorada para asegurar que los residentes tengan agua potable.</w:t>
      </w:r>
    </w:p>
    <w:p w:rsidRPr="00AA7EDD" w:rsidR="00A629D8" w:rsidP="00A629D8" w:rsidRDefault="00A629D8" w14:paraId="482E0025" w14:textId="77777777">
      <w:pPr>
        <w:widowControl/>
        <w:adjustRightInd w:val="0"/>
        <w:rPr>
          <w:rFonts w:ascii="Arial" w:hAnsi="Arial" w:cs="Arial" w:eastAsiaTheme="minorHAnsi"/>
          <w:i/>
          <w:iCs/>
        </w:rPr>
      </w:pPr>
    </w:p>
    <w:p w:rsidRPr="00AA7EDD" w:rsidR="00A629D8" w:rsidP="00A629D8" w:rsidRDefault="00A629D8" w14:paraId="27C863EF" w14:textId="77777777">
      <w:pPr>
        <w:widowControl/>
        <w:adjustRightInd w:val="0"/>
        <w:rPr>
          <w:rFonts w:ascii="Arial" w:hAnsi="Arial" w:cs="Arial" w:eastAsiaTheme="minorHAnsi"/>
          <w:i/>
          <w:iCs/>
        </w:rPr>
      </w:pPr>
      <w:proofErr w:type="spellStart"/>
      <w:r>
        <w:rPr>
          <w:rFonts w:ascii="Arial" w:hAnsi="Arial"/>
          <w:i/>
        </w:rPr>
        <w:t>Superales</w:t>
      </w:r>
      <w:proofErr w:type="spellEnd"/>
      <w:r>
        <w:rPr>
          <w:rFonts w:ascii="Arial" w:hAnsi="Arial"/>
          <w:i/>
        </w:rPr>
        <w:t xml:space="preserve"> dijo que, para evitar casos similares, se aconsejó a otros residentes de Barangay </w:t>
      </w:r>
      <w:proofErr w:type="spellStart"/>
      <w:r>
        <w:rPr>
          <w:rFonts w:ascii="Arial" w:hAnsi="Arial"/>
          <w:i/>
        </w:rPr>
        <w:t>Gunting</w:t>
      </w:r>
      <w:proofErr w:type="spellEnd"/>
      <w:r>
        <w:rPr>
          <w:rFonts w:ascii="Arial" w:hAnsi="Arial"/>
          <w:i/>
        </w:rPr>
        <w:t xml:space="preserve"> que hiervan el agua para beber y para cocinar.</w:t>
      </w:r>
    </w:p>
    <w:p w:rsidR="4D58012B" w:rsidP="4D58012B" w:rsidRDefault="4D58012B" w14:paraId="05489FB4" w14:textId="676E8717">
      <w:pPr>
        <w:rPr>
          <w:rFonts w:ascii="Arial" w:hAnsi="Arial" w:cs="Arial"/>
        </w:rPr>
      </w:pPr>
    </w:p>
    <w:p w:rsidR="008F1E38" w:rsidP="0938DEB3" w:rsidRDefault="5D8625D4" w14:paraId="3921F1A4" w14:textId="38DBED42">
      <w:pPr>
        <w:rPr>
          <w:rFonts w:ascii="Arial" w:hAnsi="Arial" w:cs="Arial"/>
        </w:rPr>
      </w:pPr>
      <w:r>
        <w:rPr>
          <w:rFonts w:ascii="Arial" w:hAnsi="Arial"/>
        </w:rPr>
        <w:t xml:space="preserve">El artículo original puede consultarse en: </w:t>
      </w:r>
      <w:hyperlink r:id="rId11">
        <w:r>
          <w:rPr>
            <w:rStyle w:val="Hyperlink"/>
            <w:rFonts w:ascii="Arial" w:hAnsi="Arial"/>
          </w:rPr>
          <w:t>https://www.gmanetwork.com/news/topstories/regions/934797/over-20-residents-in-barili-cebu-suffer-from-typhoid-fever/story</w:t>
        </w:r>
      </w:hyperlink>
    </w:p>
    <w:p w:rsidR="00503674" w:rsidP="0938DEB3" w:rsidRDefault="00503674" w14:paraId="7FAEDB22" w14:textId="77777777">
      <w:pPr>
        <w:rPr>
          <w:rFonts w:ascii="Arial" w:hAnsi="Arial" w:cs="Arial"/>
        </w:rPr>
      </w:pPr>
    </w:p>
    <w:p w:rsidRPr="009A528F" w:rsidR="003A798D" w:rsidP="003A798D" w:rsidRDefault="003A798D" w14:paraId="78EB59A0" w14:textId="27FCE111">
      <w:pPr>
        <w:pStyle w:val="Heading3"/>
      </w:pPr>
      <w:r>
        <w:t>Artículo de noticias n.º 2</w:t>
      </w:r>
    </w:p>
    <w:p w:rsidRPr="009A528F" w:rsidR="003A798D" w:rsidP="003A798D" w:rsidRDefault="003A798D" w14:paraId="77DA3F84" w14:textId="4ABB6491">
      <w:pPr>
        <w:rPr>
          <w:rFonts w:ascii="Arial" w:hAnsi="Arial" w:cs="Arial"/>
          <w:b/>
          <w:bCs/>
          <w:color w:val="3BB041" w:themeColor="accent1"/>
        </w:rPr>
      </w:pPr>
      <w:r>
        <w:rPr>
          <w:rFonts w:ascii="Arial" w:hAnsi="Arial"/>
          <w:b/>
          <w:color w:val="3BB041" w:themeColor="accent1"/>
        </w:rPr>
        <w:t>La fiebre tifoidea se propaga a través de Negros Occidental, deja 2 muertos, 80 enfermos</w:t>
      </w:r>
    </w:p>
    <w:p w:rsidRPr="00A629D8" w:rsidR="003A798D" w:rsidP="003A798D" w:rsidRDefault="003A798D" w14:paraId="0AC3967B" w14:textId="4E5B7B07">
      <w:pPr>
        <w:rPr>
          <w:rFonts w:ascii="Arial" w:hAnsi="Arial" w:cs="Arial" w:eastAsiaTheme="minorHAnsi"/>
        </w:rPr>
      </w:pPr>
      <w:proofErr w:type="spellStart"/>
      <w:r>
        <w:rPr>
          <w:rFonts w:ascii="Arial" w:hAnsi="Arial"/>
        </w:rPr>
        <w:t>Rappler</w:t>
      </w:r>
      <w:proofErr w:type="spellEnd"/>
      <w:r>
        <w:rPr>
          <w:rFonts w:ascii="Arial" w:hAnsi="Arial"/>
        </w:rPr>
        <w:t xml:space="preserve"> | Por Ambo </w:t>
      </w:r>
      <w:proofErr w:type="spellStart"/>
      <w:r>
        <w:rPr>
          <w:rFonts w:ascii="Arial" w:hAnsi="Arial"/>
        </w:rPr>
        <w:t>Delilan</w:t>
      </w:r>
      <w:proofErr w:type="spellEnd"/>
      <w:r>
        <w:rPr>
          <w:rFonts w:ascii="Arial" w:hAnsi="Arial"/>
        </w:rPr>
        <w:t xml:space="preserve"> | 05 de febrero de 2025</w:t>
      </w:r>
    </w:p>
    <w:p w:rsidR="00EB763E" w:rsidP="00EB763E" w:rsidRDefault="00EB763E" w14:paraId="725A6BEF" w14:textId="77777777">
      <w:pPr>
        <w:widowControl/>
        <w:adjustRightInd w:val="0"/>
        <w:rPr>
          <w:rFonts w:ascii="AppleSystemUIFont" w:hAnsi="AppleSystemUIFont" w:cs="AppleSystemUIFont" w:eastAsiaTheme="minorHAnsi"/>
          <w:sz w:val="26"/>
          <w:szCs w:val="26"/>
        </w:rPr>
      </w:pPr>
    </w:p>
    <w:p w:rsidRPr="000840DB" w:rsidR="000840DB" w:rsidP="000840DB" w:rsidRDefault="000840DB" w14:paraId="4093CD47" w14:textId="77777777">
      <w:pPr>
        <w:widowControl/>
        <w:adjustRightInd w:val="0"/>
        <w:rPr>
          <w:rFonts w:ascii="Arial" w:hAnsi="Arial" w:cs="Arial" w:eastAsiaTheme="minorHAnsi"/>
          <w:i/>
          <w:iCs/>
        </w:rPr>
      </w:pPr>
      <w:r>
        <w:rPr>
          <w:rFonts w:ascii="Arial" w:hAnsi="Arial"/>
          <w:i/>
        </w:rPr>
        <w:t>La fiebre tifoidea se ha propagado en 27 de 31 ciudades y pueblos de Negros Occidental, dos personas mayores murieron y otras 80 se infectaron en enero, dijo la oficina provincial de salud el martes 4 de febrero.</w:t>
      </w:r>
    </w:p>
    <w:p w:rsidRPr="000840DB" w:rsidR="000840DB" w:rsidP="000840DB" w:rsidRDefault="000840DB" w14:paraId="0137065F" w14:textId="77777777">
      <w:pPr>
        <w:widowControl/>
        <w:adjustRightInd w:val="0"/>
        <w:rPr>
          <w:rFonts w:ascii="Arial" w:hAnsi="Arial" w:cs="Arial" w:eastAsiaTheme="minorHAnsi"/>
          <w:i/>
          <w:iCs/>
        </w:rPr>
      </w:pPr>
    </w:p>
    <w:p w:rsidR="000840DB" w:rsidP="000840DB" w:rsidRDefault="000840DB" w14:paraId="36FC26D4" w14:textId="77777777">
      <w:pPr>
        <w:widowControl/>
        <w:adjustRightInd w:val="0"/>
        <w:rPr>
          <w:rFonts w:ascii="Arial" w:hAnsi="Arial" w:cs="Arial" w:eastAsiaTheme="minorHAnsi"/>
          <w:i/>
          <w:iCs/>
        </w:rPr>
      </w:pPr>
      <w:r>
        <w:rPr>
          <w:rFonts w:ascii="Arial" w:hAnsi="Arial"/>
          <w:i/>
        </w:rPr>
        <w:t xml:space="preserve">La Dra. </w:t>
      </w:r>
      <w:proofErr w:type="spellStart"/>
      <w:r>
        <w:rPr>
          <w:rFonts w:ascii="Arial" w:hAnsi="Arial"/>
          <w:i/>
        </w:rPr>
        <w:t>Girlie</w:t>
      </w:r>
      <w:proofErr w:type="spellEnd"/>
      <w:r>
        <w:rPr>
          <w:rFonts w:ascii="Arial" w:hAnsi="Arial"/>
          <w:i/>
        </w:rPr>
        <w:t xml:space="preserve"> </w:t>
      </w:r>
      <w:proofErr w:type="spellStart"/>
      <w:r>
        <w:rPr>
          <w:rFonts w:ascii="Arial" w:hAnsi="Arial"/>
          <w:i/>
        </w:rPr>
        <w:t>Pinongan</w:t>
      </w:r>
      <w:proofErr w:type="spellEnd"/>
      <w:r>
        <w:rPr>
          <w:rFonts w:ascii="Arial" w:hAnsi="Arial"/>
          <w:i/>
        </w:rPr>
        <w:t>, oficial de salud provincial, dijo que las muertes, de 62 y 79 años, eran de la ciudad de Victorias y la ciudad de Isabela.</w:t>
      </w:r>
    </w:p>
    <w:p w:rsidRPr="000840DB" w:rsidR="00A73CC3" w:rsidP="000840DB" w:rsidRDefault="00A73CC3" w14:paraId="699F1169" w14:textId="77777777">
      <w:pPr>
        <w:widowControl/>
        <w:adjustRightInd w:val="0"/>
        <w:rPr>
          <w:rFonts w:ascii="Arial" w:hAnsi="Arial" w:cs="Arial" w:eastAsiaTheme="minorHAnsi"/>
          <w:i/>
          <w:iCs/>
        </w:rPr>
      </w:pPr>
    </w:p>
    <w:p w:rsidRPr="000840DB" w:rsidR="000840DB" w:rsidP="000840DB" w:rsidRDefault="000840DB" w14:paraId="026A7554" w14:textId="77777777">
      <w:pPr>
        <w:widowControl/>
        <w:adjustRightInd w:val="0"/>
        <w:rPr>
          <w:rFonts w:ascii="Arial" w:hAnsi="Arial" w:cs="Arial" w:eastAsiaTheme="minorHAnsi"/>
          <w:i/>
          <w:iCs/>
        </w:rPr>
      </w:pPr>
      <w:r>
        <w:rPr>
          <w:rFonts w:ascii="Arial" w:hAnsi="Arial"/>
          <w:i/>
        </w:rPr>
        <w:t xml:space="preserve">La ciudad de </w:t>
      </w:r>
      <w:proofErr w:type="spellStart"/>
      <w:r>
        <w:rPr>
          <w:rFonts w:ascii="Arial" w:hAnsi="Arial"/>
          <w:i/>
        </w:rPr>
        <w:t>Kabankalan</w:t>
      </w:r>
      <w:proofErr w:type="spellEnd"/>
      <w:r>
        <w:rPr>
          <w:rFonts w:ascii="Arial" w:hAnsi="Arial"/>
          <w:i/>
        </w:rPr>
        <w:t xml:space="preserve"> y la ciudad de </w:t>
      </w:r>
      <w:proofErr w:type="spellStart"/>
      <w:r>
        <w:rPr>
          <w:rFonts w:ascii="Arial" w:hAnsi="Arial"/>
          <w:i/>
        </w:rPr>
        <w:t>Hinoba-an</w:t>
      </w:r>
      <w:proofErr w:type="spellEnd"/>
      <w:r>
        <w:rPr>
          <w:rFonts w:ascii="Arial" w:hAnsi="Arial"/>
          <w:i/>
        </w:rPr>
        <w:t>, ambas en el sur de Negros Occidental, registraron el mayor número de casos, con 16 y 13 infecciones, respectivamente.</w:t>
      </w:r>
    </w:p>
    <w:p w:rsidRPr="000840DB" w:rsidR="000840DB" w:rsidP="000840DB" w:rsidRDefault="000840DB" w14:paraId="4923BC15" w14:textId="77777777">
      <w:pPr>
        <w:widowControl/>
        <w:adjustRightInd w:val="0"/>
        <w:rPr>
          <w:rFonts w:ascii="Arial" w:hAnsi="Arial" w:cs="Arial" w:eastAsiaTheme="minorHAnsi"/>
          <w:i/>
          <w:iCs/>
        </w:rPr>
      </w:pPr>
    </w:p>
    <w:p w:rsidRPr="000840DB" w:rsidR="000840DB" w:rsidP="000840DB" w:rsidRDefault="000840DB" w14:paraId="7AF33DAE" w14:textId="77777777">
      <w:pPr>
        <w:widowControl/>
        <w:adjustRightInd w:val="0"/>
        <w:rPr>
          <w:rFonts w:ascii="Arial" w:hAnsi="Arial" w:cs="Arial" w:eastAsiaTheme="minorHAnsi"/>
          <w:i/>
          <w:iCs/>
        </w:rPr>
      </w:pPr>
      <w:r>
        <w:rPr>
          <w:rFonts w:ascii="Arial" w:hAnsi="Arial"/>
          <w:i/>
        </w:rPr>
        <w:t>La oficina provincial de salud registró un aumento del 100 % en los casos de fiebre tifoidea en enero de 2025, con 80 infecciones frente a 40 en el mismo mes de 2024. </w:t>
      </w:r>
    </w:p>
    <w:p w:rsidRPr="000840DB" w:rsidR="000840DB" w:rsidP="000840DB" w:rsidRDefault="000840DB" w14:paraId="60923B10" w14:textId="77777777">
      <w:pPr>
        <w:widowControl/>
        <w:adjustRightInd w:val="0"/>
        <w:rPr>
          <w:rFonts w:ascii="Arial" w:hAnsi="Arial" w:cs="Arial" w:eastAsiaTheme="minorHAnsi"/>
          <w:i/>
          <w:iCs/>
        </w:rPr>
      </w:pPr>
    </w:p>
    <w:p w:rsidRPr="000840DB" w:rsidR="000840DB" w:rsidP="000840DB" w:rsidRDefault="000840DB" w14:paraId="6E81FFE9" w14:textId="690D96DA">
      <w:pPr>
        <w:widowControl/>
        <w:adjustRightInd w:val="0"/>
        <w:rPr>
          <w:rFonts w:ascii="Arial" w:hAnsi="Arial" w:cs="Arial" w:eastAsiaTheme="minorHAnsi"/>
          <w:i/>
          <w:iCs/>
        </w:rPr>
      </w:pPr>
      <w:r>
        <w:rPr>
          <w:rFonts w:ascii="Arial" w:hAnsi="Arial"/>
          <w:i/>
        </w:rPr>
        <w:t xml:space="preserve">La enfermedad, causada por la bacteria Salmonella </w:t>
      </w:r>
      <w:proofErr w:type="spellStart"/>
      <w:r>
        <w:rPr>
          <w:rFonts w:ascii="Arial" w:hAnsi="Arial"/>
          <w:i/>
        </w:rPr>
        <w:t>typhi</w:t>
      </w:r>
      <w:proofErr w:type="spellEnd"/>
      <w:r>
        <w:rPr>
          <w:rFonts w:ascii="Arial" w:hAnsi="Arial"/>
          <w:i/>
        </w:rPr>
        <w:t>, se contrae típicamente a través de alimentos y agua contaminados.  Los síntomas de la fiebre tifoidea suelen aparecer de 8 a 14 días después de la infección, aunque los casos pueden permanecer sin ser detectados hasta por 30 días, dijeron funcionarios de salud.</w:t>
      </w:r>
    </w:p>
    <w:p w:rsidRPr="000840DB" w:rsidR="000840DB" w:rsidP="000840DB" w:rsidRDefault="000840DB" w14:paraId="0C4372CD" w14:textId="77777777">
      <w:pPr>
        <w:widowControl/>
        <w:adjustRightInd w:val="0"/>
        <w:rPr>
          <w:rFonts w:ascii="Arial" w:hAnsi="Arial" w:cs="Arial" w:eastAsiaTheme="minorHAnsi"/>
          <w:i/>
          <w:iCs/>
        </w:rPr>
      </w:pPr>
    </w:p>
    <w:p w:rsidRPr="000840DB" w:rsidR="000840DB" w:rsidP="000840DB" w:rsidRDefault="000840DB" w14:paraId="1297DE32" w14:textId="06CFCAB5">
      <w:pPr>
        <w:widowControl/>
        <w:adjustRightInd w:val="0"/>
        <w:rPr>
          <w:rFonts w:ascii="Arial" w:hAnsi="Arial" w:cs="Arial" w:eastAsiaTheme="minorHAnsi"/>
          <w:i/>
          <w:iCs/>
        </w:rPr>
      </w:pPr>
      <w:r>
        <w:rPr>
          <w:rFonts w:ascii="Arial" w:hAnsi="Arial"/>
          <w:i/>
        </w:rPr>
        <w:t xml:space="preserve">Por cierto, algunas áreas en Negros Occidental también han estado luchando con el suministro de agua potable debido a la contaminación sulfúrica relacionada con las erupciones del volcán </w:t>
      </w:r>
      <w:proofErr w:type="spellStart"/>
      <w:r>
        <w:rPr>
          <w:rFonts w:ascii="Arial" w:hAnsi="Arial"/>
          <w:i/>
        </w:rPr>
        <w:t>Kanlaon</w:t>
      </w:r>
      <w:proofErr w:type="spellEnd"/>
      <w:r>
        <w:rPr>
          <w:rFonts w:ascii="Arial" w:hAnsi="Arial"/>
          <w:i/>
        </w:rPr>
        <w:t xml:space="preserve"> en 2024, lo que exacerba las preocupaciones sobre la propagación de la fiebre tifoidea.</w:t>
      </w:r>
    </w:p>
    <w:p w:rsidRPr="000840DB" w:rsidR="000840DB" w:rsidP="000840DB" w:rsidRDefault="000840DB" w14:paraId="6733CEB9" w14:textId="77777777">
      <w:pPr>
        <w:widowControl/>
        <w:adjustRightInd w:val="0"/>
        <w:spacing w:after="40"/>
        <w:jc w:val="center"/>
        <w:rPr>
          <w:rFonts w:ascii="Arial" w:hAnsi="Arial" w:cs="Arial" w:eastAsiaTheme="minorHAnsi"/>
          <w:b/>
          <w:bCs/>
          <w:i/>
          <w:iCs/>
        </w:rPr>
      </w:pPr>
    </w:p>
    <w:p w:rsidR="000840DB" w:rsidP="000840DB" w:rsidRDefault="000840DB" w14:paraId="498E6FA4" w14:textId="5AEA35CD">
      <w:pPr>
        <w:widowControl/>
        <w:adjustRightInd w:val="0"/>
        <w:rPr>
          <w:rFonts w:ascii="Arial" w:hAnsi="Arial" w:cs="Arial" w:eastAsiaTheme="minorHAnsi"/>
          <w:i/>
          <w:iCs/>
        </w:rPr>
      </w:pPr>
      <w:r>
        <w:rPr>
          <w:rFonts w:ascii="Arial" w:hAnsi="Arial"/>
          <w:i/>
        </w:rPr>
        <w:t>La fiebre tifoidea es más común durante la temporada de lluvias, pero las autoridades dijeron que dos muertes solo en enero fueron alarmantes.</w:t>
      </w:r>
    </w:p>
    <w:p w:rsidRPr="000840DB" w:rsidR="00157613" w:rsidP="000840DB" w:rsidRDefault="00157613" w14:paraId="22D007D3" w14:textId="77777777">
      <w:pPr>
        <w:widowControl/>
        <w:adjustRightInd w:val="0"/>
        <w:rPr>
          <w:rFonts w:ascii="Arial" w:hAnsi="Arial" w:cs="Arial" w:eastAsiaTheme="minorHAnsi"/>
          <w:i/>
          <w:iCs/>
        </w:rPr>
      </w:pPr>
    </w:p>
    <w:p w:rsidR="000840DB" w:rsidP="000840DB" w:rsidRDefault="000840DB" w14:paraId="785DB7A6" w14:textId="334E7705">
      <w:pPr>
        <w:widowControl/>
        <w:adjustRightInd w:val="0"/>
        <w:rPr>
          <w:rFonts w:ascii="Arial" w:hAnsi="Arial" w:cs="Arial" w:eastAsiaTheme="minorHAnsi"/>
          <w:i/>
          <w:iCs/>
        </w:rPr>
      </w:pPr>
      <w:r>
        <w:rPr>
          <w:rFonts w:ascii="Arial" w:hAnsi="Arial"/>
          <w:i/>
        </w:rPr>
        <w:t xml:space="preserve">La Dra. </w:t>
      </w:r>
      <w:proofErr w:type="spellStart"/>
      <w:r>
        <w:rPr>
          <w:rFonts w:ascii="Arial" w:hAnsi="Arial"/>
          <w:i/>
        </w:rPr>
        <w:t>Girlie</w:t>
      </w:r>
      <w:proofErr w:type="spellEnd"/>
      <w:r>
        <w:rPr>
          <w:rFonts w:ascii="Arial" w:hAnsi="Arial"/>
          <w:i/>
        </w:rPr>
        <w:t xml:space="preserve"> </w:t>
      </w:r>
      <w:proofErr w:type="spellStart"/>
      <w:r>
        <w:rPr>
          <w:rFonts w:ascii="Arial" w:hAnsi="Arial"/>
          <w:i/>
        </w:rPr>
        <w:t>Pinongan</w:t>
      </w:r>
      <w:proofErr w:type="spellEnd"/>
      <w:r>
        <w:rPr>
          <w:rFonts w:ascii="Arial" w:hAnsi="Arial"/>
          <w:i/>
        </w:rPr>
        <w:t>, oficial de salud provincial, instó a los residentes a evitar beber agua sin tratar, cocinar bien los alimentos y consumir comidas dentro de las cuatro horas posteriores a la preparación. También advirtió contra comer comida insalubre y callejera…</w:t>
      </w:r>
    </w:p>
    <w:p w:rsidRPr="000840DB" w:rsidR="00572566" w:rsidP="000840DB" w:rsidRDefault="00572566" w14:paraId="1BAF12FA" w14:textId="77777777">
      <w:pPr>
        <w:widowControl/>
        <w:adjustRightInd w:val="0"/>
        <w:rPr>
          <w:rFonts w:ascii="Arial" w:hAnsi="Arial" w:cs="Arial" w:eastAsiaTheme="minorHAnsi"/>
          <w:i/>
          <w:iCs/>
        </w:rPr>
      </w:pPr>
    </w:p>
    <w:p w:rsidR="00A73CC3" w:rsidP="00572566" w:rsidRDefault="00572566" w14:paraId="51D6E069" w14:textId="489ACF7B">
      <w:pPr>
        <w:widowControl/>
        <w:adjustRightInd w:val="0"/>
        <w:rPr>
          <w:rFonts w:ascii="Arial" w:hAnsi="Arial" w:cs="Arial" w:eastAsiaTheme="minorHAnsi"/>
          <w:i/>
          <w:iCs/>
        </w:rPr>
      </w:pPr>
      <w:r>
        <w:rPr>
          <w:rFonts w:ascii="Arial" w:hAnsi="Arial"/>
          <w:i/>
        </w:rPr>
        <w:t>…Con el acceso a las vacunas aún limitado, el DOH instó al público a mantener una higiene adecuada, consumir alimentos seguros y beber agua limpia para prevenir la infección…</w:t>
      </w:r>
    </w:p>
    <w:p w:rsidR="00A73CC3" w:rsidP="000840DB" w:rsidRDefault="00A73CC3" w14:paraId="380213A2" w14:textId="77777777">
      <w:pPr>
        <w:rPr>
          <w:rFonts w:ascii="Arial" w:hAnsi="Arial" w:cs="Arial" w:eastAsiaTheme="minorHAnsi"/>
          <w:i/>
          <w:iCs/>
        </w:rPr>
      </w:pPr>
    </w:p>
    <w:p w:rsidRPr="00A73CC3" w:rsidR="00A73CC3" w:rsidP="4D58012B" w:rsidRDefault="00A73CC3" w14:paraId="28202D94" w14:textId="6B0D20EA">
      <w:pPr>
        <w:rPr>
          <w:rFonts w:ascii="Arial" w:hAnsi="Arial" w:cs="Arial" w:eastAsiaTheme="minorEastAsia"/>
          <w:i/>
          <w:iCs/>
        </w:rPr>
      </w:pPr>
      <w:r>
        <w:rPr>
          <w:rFonts w:ascii="Arial" w:hAnsi="Arial"/>
        </w:rPr>
        <w:t xml:space="preserve">El artículo original puede consultarse en: </w:t>
      </w:r>
      <w:hyperlink r:id="rId12">
        <w:r>
          <w:rPr>
            <w:rStyle w:val="Hyperlink"/>
            <w:rFonts w:ascii="Arial" w:hAnsi="Arial"/>
            <w:i/>
          </w:rPr>
          <w:t>https://www.rappler.com/philippines/visayas/typhoid-fever-spreads-negros-occidental/</w:t>
        </w:r>
      </w:hyperlink>
      <w:r>
        <w:rPr>
          <w:rFonts w:ascii="Arial" w:hAnsi="Arial"/>
          <w:i/>
        </w:rPr>
        <w:t xml:space="preserve"> </w:t>
      </w:r>
    </w:p>
    <w:sectPr w:rsidRPr="00A73CC3" w:rsidR="00A73CC3" w:rsidSect="0021781B">
      <w:headerReference w:type="default" r:id="rId13"/>
      <w:footerReference w:type="default" r:id="rId14"/>
      <w:headerReference w:type="first" r:id="rId15"/>
      <w:footerReference w:type="first" r:id="rId16"/>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2205B" w:rsidRDefault="0022205B" w14:paraId="7CADB011" w14:textId="77777777">
      <w:r>
        <w:separator/>
      </w:r>
    </w:p>
  </w:endnote>
  <w:endnote w:type="continuationSeparator" w:id="0">
    <w:p w:rsidR="0022205B" w:rsidRDefault="0022205B" w14:paraId="2CAA94A4" w14:textId="77777777">
      <w:r>
        <w:continuationSeparator/>
      </w:r>
    </w:p>
  </w:endnote>
  <w:endnote w:type="continuationNotice" w:id="1">
    <w:p w:rsidR="0022205B" w:rsidRDefault="0022205B" w14:paraId="70F65FF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charset w:val="4D"/>
    <w:family w:val="auto"/>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altName w:val="Calibri"/>
    <w:charset w:val="4D"/>
    <w:family w:val="auto"/>
    <w:pitch w:val="variable"/>
    <w:sig w:usb0="20000007" w:usb1="00000000"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4D58012B" w:rsidP="4D58012B" w:rsidRDefault="4D58012B" w14:paraId="53ED29E1" w14:textId="0EB156C8">
    <w:pPr>
      <w:pStyle w:val="Footer"/>
      <w:jc w:val="right"/>
    </w:pPr>
    <w:r>
      <w:fldChar w:fldCharType="begin"/>
    </w:r>
    <w:r>
      <w:instrText>PAGE</w:instrText>
    </w:r>
    <w:r>
      <w:fldChar w:fldCharType="separate"/>
    </w:r>
    <w:r w:rsidR="004B41CC">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22205B" w:rsidP="0055419F" w:rsidRDefault="0022205B" w14:paraId="345A2090"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22205B" w:rsidRDefault="0022205B" w14:paraId="16BC064F" w14:textId="77777777">
      <w:r>
        <w:continuationSeparator/>
      </w:r>
    </w:p>
  </w:footnote>
  <w:footnote w:type="continuationNotice" w:id="1">
    <w:p w:rsidR="0022205B" w:rsidRDefault="0022205B" w14:paraId="3D995BB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EB4988" w14:paraId="2968F032" w14:textId="6EFA990A">
    <w:pPr>
      <w:spacing w:before="20"/>
      <w:rPr>
        <w:rFonts w:ascii="Arial" w:hAnsi="Arial" w:cs="Arial"/>
        <w:b/>
        <w:color w:val="3BB041" w:themeColor="accent1"/>
        <w:sz w:val="15"/>
        <w:szCs w:val="15"/>
      </w:rPr>
    </w:pPr>
    <w:r>
      <w:rPr>
        <w:rFonts w:ascii="Arial" w:hAnsi="Arial"/>
        <w:b/>
        <w:color w:val="3BB041" w:themeColor="accent1"/>
        <w:sz w:val="15"/>
      </w:rPr>
      <w:t>Actividad: Enfoque 7-1-7 y brotes en las noticias</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A786438"/>
    <w:multiLevelType w:val="hybridMultilevel"/>
    <w:tmpl w:val="ED5478EE"/>
    <w:lvl w:ilvl="0" w:tplc="C8223624">
      <w:start w:val="1"/>
      <w:numFmt w:val="bullet"/>
      <w:lvlText w:val="•"/>
      <w:lvlJc w:val="left"/>
      <w:pPr>
        <w:tabs>
          <w:tab w:val="num" w:pos="720"/>
        </w:tabs>
        <w:ind w:left="720" w:hanging="360"/>
      </w:pPr>
      <w:rPr>
        <w:rFonts w:hint="default" w:ascii="Arial" w:hAnsi="Arial"/>
      </w:rPr>
    </w:lvl>
    <w:lvl w:ilvl="1" w:tplc="593CBED2">
      <w:start w:val="66"/>
      <w:numFmt w:val="bullet"/>
      <w:lvlText w:val="o"/>
      <w:lvlJc w:val="left"/>
      <w:pPr>
        <w:tabs>
          <w:tab w:val="num" w:pos="1440"/>
        </w:tabs>
        <w:ind w:left="1440" w:hanging="360"/>
      </w:pPr>
      <w:rPr>
        <w:rFonts w:hint="default" w:ascii="Courier New" w:hAnsi="Courier New"/>
      </w:rPr>
    </w:lvl>
    <w:lvl w:ilvl="2" w:tplc="F8BE1DDA" w:tentative="1">
      <w:start w:val="1"/>
      <w:numFmt w:val="bullet"/>
      <w:lvlText w:val="•"/>
      <w:lvlJc w:val="left"/>
      <w:pPr>
        <w:tabs>
          <w:tab w:val="num" w:pos="2160"/>
        </w:tabs>
        <w:ind w:left="2160" w:hanging="360"/>
      </w:pPr>
      <w:rPr>
        <w:rFonts w:hint="default" w:ascii="Arial" w:hAnsi="Arial"/>
      </w:rPr>
    </w:lvl>
    <w:lvl w:ilvl="3" w:tplc="B18CE65E" w:tentative="1">
      <w:start w:val="1"/>
      <w:numFmt w:val="bullet"/>
      <w:lvlText w:val="•"/>
      <w:lvlJc w:val="left"/>
      <w:pPr>
        <w:tabs>
          <w:tab w:val="num" w:pos="2880"/>
        </w:tabs>
        <w:ind w:left="2880" w:hanging="360"/>
      </w:pPr>
      <w:rPr>
        <w:rFonts w:hint="default" w:ascii="Arial" w:hAnsi="Arial"/>
      </w:rPr>
    </w:lvl>
    <w:lvl w:ilvl="4" w:tplc="222068BC" w:tentative="1">
      <w:start w:val="1"/>
      <w:numFmt w:val="bullet"/>
      <w:lvlText w:val="•"/>
      <w:lvlJc w:val="left"/>
      <w:pPr>
        <w:tabs>
          <w:tab w:val="num" w:pos="3600"/>
        </w:tabs>
        <w:ind w:left="3600" w:hanging="360"/>
      </w:pPr>
      <w:rPr>
        <w:rFonts w:hint="default" w:ascii="Arial" w:hAnsi="Arial"/>
      </w:rPr>
    </w:lvl>
    <w:lvl w:ilvl="5" w:tplc="5D4EE404" w:tentative="1">
      <w:start w:val="1"/>
      <w:numFmt w:val="bullet"/>
      <w:lvlText w:val="•"/>
      <w:lvlJc w:val="left"/>
      <w:pPr>
        <w:tabs>
          <w:tab w:val="num" w:pos="4320"/>
        </w:tabs>
        <w:ind w:left="4320" w:hanging="360"/>
      </w:pPr>
      <w:rPr>
        <w:rFonts w:hint="default" w:ascii="Arial" w:hAnsi="Arial"/>
      </w:rPr>
    </w:lvl>
    <w:lvl w:ilvl="6" w:tplc="144AD45C" w:tentative="1">
      <w:start w:val="1"/>
      <w:numFmt w:val="bullet"/>
      <w:lvlText w:val="•"/>
      <w:lvlJc w:val="left"/>
      <w:pPr>
        <w:tabs>
          <w:tab w:val="num" w:pos="5040"/>
        </w:tabs>
        <w:ind w:left="5040" w:hanging="360"/>
      </w:pPr>
      <w:rPr>
        <w:rFonts w:hint="default" w:ascii="Arial" w:hAnsi="Arial"/>
      </w:rPr>
    </w:lvl>
    <w:lvl w:ilvl="7" w:tplc="6BD662E2" w:tentative="1">
      <w:start w:val="1"/>
      <w:numFmt w:val="bullet"/>
      <w:lvlText w:val="•"/>
      <w:lvlJc w:val="left"/>
      <w:pPr>
        <w:tabs>
          <w:tab w:val="num" w:pos="5760"/>
        </w:tabs>
        <w:ind w:left="5760" w:hanging="360"/>
      </w:pPr>
      <w:rPr>
        <w:rFonts w:hint="default" w:ascii="Arial" w:hAnsi="Arial"/>
      </w:rPr>
    </w:lvl>
    <w:lvl w:ilvl="8" w:tplc="F3127F64" w:tentative="1">
      <w:start w:val="1"/>
      <w:numFmt w:val="bullet"/>
      <w:lvlText w:val="•"/>
      <w:lvlJc w:val="left"/>
      <w:pPr>
        <w:tabs>
          <w:tab w:val="num" w:pos="6480"/>
        </w:tabs>
        <w:ind w:left="6480" w:hanging="360"/>
      </w:pPr>
      <w:rPr>
        <w:rFonts w:hint="default" w:ascii="Arial" w:hAnsi="Arial"/>
      </w:rPr>
    </w:lvl>
  </w:abstractNum>
  <w:abstractNum w:abstractNumId="27"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0"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1"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0"/>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39"/>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8"/>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1"/>
  </w:num>
  <w:num w:numId="42" w16cid:durableId="1608123203">
    <w:abstractNumId w:val="27"/>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13891824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556FF"/>
    <w:rsid w:val="000653A0"/>
    <w:rsid w:val="0006727E"/>
    <w:rsid w:val="00075A53"/>
    <w:rsid w:val="000840DB"/>
    <w:rsid w:val="00086F3A"/>
    <w:rsid w:val="00094308"/>
    <w:rsid w:val="0009471C"/>
    <w:rsid w:val="00097C3C"/>
    <w:rsid w:val="000A1E53"/>
    <w:rsid w:val="000A3FFF"/>
    <w:rsid w:val="000A46A3"/>
    <w:rsid w:val="000A4DEC"/>
    <w:rsid w:val="000A6887"/>
    <w:rsid w:val="000C531D"/>
    <w:rsid w:val="000C75CE"/>
    <w:rsid w:val="000D3EC6"/>
    <w:rsid w:val="000D6B55"/>
    <w:rsid w:val="000E4269"/>
    <w:rsid w:val="001034B0"/>
    <w:rsid w:val="00107852"/>
    <w:rsid w:val="001348B3"/>
    <w:rsid w:val="001358BB"/>
    <w:rsid w:val="00142B90"/>
    <w:rsid w:val="0014614D"/>
    <w:rsid w:val="00157613"/>
    <w:rsid w:val="00173A6A"/>
    <w:rsid w:val="00174229"/>
    <w:rsid w:val="00186D06"/>
    <w:rsid w:val="00193F87"/>
    <w:rsid w:val="001A4541"/>
    <w:rsid w:val="001A75A3"/>
    <w:rsid w:val="001B0BC7"/>
    <w:rsid w:val="001B0F34"/>
    <w:rsid w:val="001E0A48"/>
    <w:rsid w:val="001E106E"/>
    <w:rsid w:val="001F443D"/>
    <w:rsid w:val="002152C1"/>
    <w:rsid w:val="0021781B"/>
    <w:rsid w:val="0022205B"/>
    <w:rsid w:val="00243AA6"/>
    <w:rsid w:val="0026325B"/>
    <w:rsid w:val="00276714"/>
    <w:rsid w:val="00293342"/>
    <w:rsid w:val="002A4E26"/>
    <w:rsid w:val="002A4FFE"/>
    <w:rsid w:val="002B2F04"/>
    <w:rsid w:val="002C4E83"/>
    <w:rsid w:val="002D2AF2"/>
    <w:rsid w:val="002F4F66"/>
    <w:rsid w:val="002F5ABD"/>
    <w:rsid w:val="0030648C"/>
    <w:rsid w:val="003134AB"/>
    <w:rsid w:val="0032095F"/>
    <w:rsid w:val="00333046"/>
    <w:rsid w:val="0033349A"/>
    <w:rsid w:val="003401BA"/>
    <w:rsid w:val="00345564"/>
    <w:rsid w:val="003518DB"/>
    <w:rsid w:val="003539DF"/>
    <w:rsid w:val="00372524"/>
    <w:rsid w:val="00376D6C"/>
    <w:rsid w:val="003771F9"/>
    <w:rsid w:val="0038457A"/>
    <w:rsid w:val="003A19A7"/>
    <w:rsid w:val="003A798D"/>
    <w:rsid w:val="003D179B"/>
    <w:rsid w:val="003D5EC9"/>
    <w:rsid w:val="003E064C"/>
    <w:rsid w:val="003E585C"/>
    <w:rsid w:val="004111D8"/>
    <w:rsid w:val="00414600"/>
    <w:rsid w:val="00415E72"/>
    <w:rsid w:val="00422C09"/>
    <w:rsid w:val="00433B5C"/>
    <w:rsid w:val="004436E4"/>
    <w:rsid w:val="00443EAD"/>
    <w:rsid w:val="00454949"/>
    <w:rsid w:val="00455400"/>
    <w:rsid w:val="00465149"/>
    <w:rsid w:val="004702B4"/>
    <w:rsid w:val="004765D5"/>
    <w:rsid w:val="00484BEE"/>
    <w:rsid w:val="00486CE9"/>
    <w:rsid w:val="00496C8A"/>
    <w:rsid w:val="004A39D0"/>
    <w:rsid w:val="004A3E79"/>
    <w:rsid w:val="004B41CC"/>
    <w:rsid w:val="004D1E3C"/>
    <w:rsid w:val="004D2991"/>
    <w:rsid w:val="004E3EF8"/>
    <w:rsid w:val="004F195C"/>
    <w:rsid w:val="00503674"/>
    <w:rsid w:val="0050579B"/>
    <w:rsid w:val="005211DF"/>
    <w:rsid w:val="005243C8"/>
    <w:rsid w:val="00530C0F"/>
    <w:rsid w:val="00542638"/>
    <w:rsid w:val="0055419F"/>
    <w:rsid w:val="00561973"/>
    <w:rsid w:val="00570596"/>
    <w:rsid w:val="00572566"/>
    <w:rsid w:val="0057594C"/>
    <w:rsid w:val="00590710"/>
    <w:rsid w:val="00590742"/>
    <w:rsid w:val="0059373D"/>
    <w:rsid w:val="00594C40"/>
    <w:rsid w:val="00595BDC"/>
    <w:rsid w:val="005A0866"/>
    <w:rsid w:val="005A7A72"/>
    <w:rsid w:val="005B09A6"/>
    <w:rsid w:val="005B2F11"/>
    <w:rsid w:val="005B7AE9"/>
    <w:rsid w:val="005C3C52"/>
    <w:rsid w:val="005D14DB"/>
    <w:rsid w:val="005E70AC"/>
    <w:rsid w:val="005E7D01"/>
    <w:rsid w:val="006221AE"/>
    <w:rsid w:val="00646AF2"/>
    <w:rsid w:val="006706E9"/>
    <w:rsid w:val="006749F0"/>
    <w:rsid w:val="00692101"/>
    <w:rsid w:val="00695ED2"/>
    <w:rsid w:val="006A1623"/>
    <w:rsid w:val="006A2BD3"/>
    <w:rsid w:val="006B50CA"/>
    <w:rsid w:val="006C0638"/>
    <w:rsid w:val="006D5727"/>
    <w:rsid w:val="006F57C1"/>
    <w:rsid w:val="00710820"/>
    <w:rsid w:val="0071169E"/>
    <w:rsid w:val="00722166"/>
    <w:rsid w:val="0072302F"/>
    <w:rsid w:val="007416C9"/>
    <w:rsid w:val="00752388"/>
    <w:rsid w:val="0078666F"/>
    <w:rsid w:val="007A698A"/>
    <w:rsid w:val="007D20CC"/>
    <w:rsid w:val="007E0212"/>
    <w:rsid w:val="00800B05"/>
    <w:rsid w:val="0080128D"/>
    <w:rsid w:val="00813DFB"/>
    <w:rsid w:val="0083098F"/>
    <w:rsid w:val="0083675F"/>
    <w:rsid w:val="00882919"/>
    <w:rsid w:val="008B08C0"/>
    <w:rsid w:val="008C398B"/>
    <w:rsid w:val="008D269C"/>
    <w:rsid w:val="008D3E8C"/>
    <w:rsid w:val="008D63CD"/>
    <w:rsid w:val="008D7908"/>
    <w:rsid w:val="008F1ABC"/>
    <w:rsid w:val="008F1E38"/>
    <w:rsid w:val="008F74CB"/>
    <w:rsid w:val="0090340D"/>
    <w:rsid w:val="00907B47"/>
    <w:rsid w:val="00924944"/>
    <w:rsid w:val="0094559E"/>
    <w:rsid w:val="0094728F"/>
    <w:rsid w:val="009733F1"/>
    <w:rsid w:val="00981A61"/>
    <w:rsid w:val="00984B02"/>
    <w:rsid w:val="00990ECB"/>
    <w:rsid w:val="009948C7"/>
    <w:rsid w:val="009A528F"/>
    <w:rsid w:val="009E665A"/>
    <w:rsid w:val="009E7DC2"/>
    <w:rsid w:val="009F6219"/>
    <w:rsid w:val="00A112F9"/>
    <w:rsid w:val="00A21118"/>
    <w:rsid w:val="00A45E0C"/>
    <w:rsid w:val="00A629D8"/>
    <w:rsid w:val="00A63122"/>
    <w:rsid w:val="00A65AB7"/>
    <w:rsid w:val="00A71188"/>
    <w:rsid w:val="00A73CC3"/>
    <w:rsid w:val="00A75377"/>
    <w:rsid w:val="00A932E8"/>
    <w:rsid w:val="00AA7989"/>
    <w:rsid w:val="00AA7EDD"/>
    <w:rsid w:val="00AC2913"/>
    <w:rsid w:val="00B06E9E"/>
    <w:rsid w:val="00B10F0B"/>
    <w:rsid w:val="00B11B96"/>
    <w:rsid w:val="00B753C0"/>
    <w:rsid w:val="00B93BF5"/>
    <w:rsid w:val="00BB1255"/>
    <w:rsid w:val="00BD350F"/>
    <w:rsid w:val="00BF5950"/>
    <w:rsid w:val="00C533D5"/>
    <w:rsid w:val="00C67336"/>
    <w:rsid w:val="00C761B4"/>
    <w:rsid w:val="00C95406"/>
    <w:rsid w:val="00C96BFB"/>
    <w:rsid w:val="00CB538B"/>
    <w:rsid w:val="00CB7087"/>
    <w:rsid w:val="00CF0F13"/>
    <w:rsid w:val="00D029C9"/>
    <w:rsid w:val="00D10281"/>
    <w:rsid w:val="00D1628F"/>
    <w:rsid w:val="00D22790"/>
    <w:rsid w:val="00D259CF"/>
    <w:rsid w:val="00D32EAF"/>
    <w:rsid w:val="00D3796E"/>
    <w:rsid w:val="00D40613"/>
    <w:rsid w:val="00D502FE"/>
    <w:rsid w:val="00D61AD2"/>
    <w:rsid w:val="00D62543"/>
    <w:rsid w:val="00D7002D"/>
    <w:rsid w:val="00D863EE"/>
    <w:rsid w:val="00D934F4"/>
    <w:rsid w:val="00DB2C62"/>
    <w:rsid w:val="00DC079A"/>
    <w:rsid w:val="00DC09BD"/>
    <w:rsid w:val="00DD0129"/>
    <w:rsid w:val="00E02DCE"/>
    <w:rsid w:val="00E06416"/>
    <w:rsid w:val="00E23D3A"/>
    <w:rsid w:val="00E2624F"/>
    <w:rsid w:val="00E30046"/>
    <w:rsid w:val="00E33224"/>
    <w:rsid w:val="00E47D09"/>
    <w:rsid w:val="00E744B2"/>
    <w:rsid w:val="00EA2A97"/>
    <w:rsid w:val="00EB2B1B"/>
    <w:rsid w:val="00EB4988"/>
    <w:rsid w:val="00EB763E"/>
    <w:rsid w:val="00EC3F2D"/>
    <w:rsid w:val="00ED2842"/>
    <w:rsid w:val="00ED4498"/>
    <w:rsid w:val="00EE4D44"/>
    <w:rsid w:val="00EE7567"/>
    <w:rsid w:val="00EF20BA"/>
    <w:rsid w:val="00EF30A6"/>
    <w:rsid w:val="00F04B6A"/>
    <w:rsid w:val="00F162E7"/>
    <w:rsid w:val="00F16A89"/>
    <w:rsid w:val="00F27AC5"/>
    <w:rsid w:val="00F55F2B"/>
    <w:rsid w:val="00F70303"/>
    <w:rsid w:val="00F729EB"/>
    <w:rsid w:val="00F813F3"/>
    <w:rsid w:val="00F87666"/>
    <w:rsid w:val="00F901EF"/>
    <w:rsid w:val="00F90DE2"/>
    <w:rsid w:val="00F96D3D"/>
    <w:rsid w:val="00FA767E"/>
    <w:rsid w:val="00FB7B57"/>
    <w:rsid w:val="00FC5CA5"/>
    <w:rsid w:val="00FD2B45"/>
    <w:rsid w:val="00FE0C6F"/>
    <w:rsid w:val="03C1A09B"/>
    <w:rsid w:val="0938DEB3"/>
    <w:rsid w:val="0B45EEC5"/>
    <w:rsid w:val="0B6F44EC"/>
    <w:rsid w:val="0BCE022A"/>
    <w:rsid w:val="1F41F6C4"/>
    <w:rsid w:val="22DA416A"/>
    <w:rsid w:val="23B69E50"/>
    <w:rsid w:val="256E1DC3"/>
    <w:rsid w:val="2A28D8D9"/>
    <w:rsid w:val="2DFE7633"/>
    <w:rsid w:val="365E0A64"/>
    <w:rsid w:val="394A3C79"/>
    <w:rsid w:val="3BF769B3"/>
    <w:rsid w:val="4296DC2D"/>
    <w:rsid w:val="4A0609A1"/>
    <w:rsid w:val="4C3B551C"/>
    <w:rsid w:val="4D58012B"/>
    <w:rsid w:val="58AF1FD0"/>
    <w:rsid w:val="5D8625D4"/>
    <w:rsid w:val="5F736A75"/>
    <w:rsid w:val="679BDB62"/>
    <w:rsid w:val="6A3CA81F"/>
    <w:rsid w:val="6C968961"/>
    <w:rsid w:val="6F4289D6"/>
    <w:rsid w:val="7511FAE3"/>
    <w:rsid w:val="76FBE1E1"/>
    <w:rsid w:val="7D90880C"/>
    <w:rsid w:val="7F4ABEA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FD95C97E-85CA-4532-9A13-517AC425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ListParagraph"/>
    <w:rsid w:val="003A19A7"/>
    <w:pPr>
      <w:numPr>
        <w:numId w:val="3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PublicSans-Thin" w:hAnsi="PublicSans-Thin" w:eastAsia="PublicSans-Thin" w:cs="PublicSans-Thi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112F9"/>
    <w:rPr>
      <w:b/>
      <w:bCs/>
    </w:rPr>
  </w:style>
  <w:style w:type="character" w:styleId="CommentSubjectChar" w:customStyle="1">
    <w:name w:val="Comment Subject Char"/>
    <w:basedOn w:val="CommentTextChar"/>
    <w:link w:val="CommentSubject"/>
    <w:uiPriority w:val="99"/>
    <w:semiHidden/>
    <w:rsid w:val="00A112F9"/>
    <w:rPr>
      <w:rFonts w:ascii="PublicSans-Thin" w:hAnsi="PublicSans-Thin" w:eastAsia="PublicSans-Thin" w:cs="PublicSans-Thin"/>
      <w:b/>
      <w:bCs/>
      <w:sz w:val="20"/>
      <w:szCs w:val="20"/>
    </w:rPr>
  </w:style>
  <w:style w:type="character" w:styleId="Mention">
    <w:name w:val="Mention"/>
    <w:basedOn w:val="DefaultParagraphFont"/>
    <w:uiPriority w:val="99"/>
    <w:unhideWhenUsed/>
    <w:rsid w:val="00A112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5914">
      <w:bodyDiv w:val="1"/>
      <w:marLeft w:val="0"/>
      <w:marRight w:val="0"/>
      <w:marTop w:val="0"/>
      <w:marBottom w:val="0"/>
      <w:divBdr>
        <w:top w:val="none" w:sz="0" w:space="0" w:color="auto"/>
        <w:left w:val="none" w:sz="0" w:space="0" w:color="auto"/>
        <w:bottom w:val="none" w:sz="0" w:space="0" w:color="auto"/>
        <w:right w:val="none" w:sz="0" w:space="0" w:color="auto"/>
      </w:divBdr>
    </w:div>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1098137190">
      <w:bodyDiv w:val="1"/>
      <w:marLeft w:val="0"/>
      <w:marRight w:val="0"/>
      <w:marTop w:val="0"/>
      <w:marBottom w:val="0"/>
      <w:divBdr>
        <w:top w:val="none" w:sz="0" w:space="0" w:color="auto"/>
        <w:left w:val="none" w:sz="0" w:space="0" w:color="auto"/>
        <w:bottom w:val="none" w:sz="0" w:space="0" w:color="auto"/>
        <w:right w:val="none" w:sz="0" w:space="0" w:color="auto"/>
      </w:divBdr>
      <w:divsChild>
        <w:div w:id="524681509">
          <w:marLeft w:val="0"/>
          <w:marRight w:val="0"/>
          <w:marTop w:val="0"/>
          <w:marBottom w:val="0"/>
          <w:divBdr>
            <w:top w:val="single" w:sz="12" w:space="19" w:color="F5F5F5"/>
            <w:left w:val="none" w:sz="0" w:space="0" w:color="auto"/>
            <w:bottom w:val="none" w:sz="0" w:space="11" w:color="auto"/>
            <w:right w:val="none" w:sz="0" w:space="0" w:color="auto"/>
          </w:divBdr>
        </w:div>
        <w:div w:id="1206214992">
          <w:marLeft w:val="0"/>
          <w:marRight w:val="0"/>
          <w:marTop w:val="0"/>
          <w:marBottom w:val="405"/>
          <w:divBdr>
            <w:top w:val="none" w:sz="0" w:space="0" w:color="auto"/>
            <w:left w:val="none" w:sz="0" w:space="0" w:color="auto"/>
            <w:bottom w:val="none" w:sz="0" w:space="0" w:color="auto"/>
            <w:right w:val="none" w:sz="0" w:space="0" w:color="auto"/>
          </w:divBdr>
          <w:divsChild>
            <w:div w:id="1509715294">
              <w:marLeft w:val="0"/>
              <w:marRight w:val="0"/>
              <w:marTop w:val="0"/>
              <w:marBottom w:val="0"/>
              <w:divBdr>
                <w:top w:val="single" w:sz="6" w:space="0" w:color="E0E0E0"/>
                <w:left w:val="none" w:sz="0" w:space="0" w:color="auto"/>
                <w:bottom w:val="none" w:sz="0" w:space="0" w:color="auto"/>
                <w:right w:val="none" w:sz="0" w:space="0" w:color="auto"/>
              </w:divBdr>
              <w:divsChild>
                <w:div w:id="189388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4360">
          <w:marLeft w:val="0"/>
          <w:marRight w:val="0"/>
          <w:marTop w:val="0"/>
          <w:marBottom w:val="0"/>
          <w:divBdr>
            <w:top w:val="single" w:sz="12" w:space="19" w:color="F5F5F5"/>
            <w:left w:val="none" w:sz="0" w:space="0" w:color="auto"/>
            <w:bottom w:val="none" w:sz="0" w:space="11"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rappler.com/philippines/visayas/typhoid-fever-spreads-negros-occidental/"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manetwork.com/news/topstories/regions/934797/over-20-residents-in-barili-cebu-suffer-from-typhoid-fever/story"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F01AC-9AAF-4BDD-BA65-1610ABE0A276}"/>
</file>

<file path=customXml/itemProps2.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3.xml><?xml version="1.0" encoding="utf-8"?>
<ds:datastoreItem xmlns:ds="http://schemas.openxmlformats.org/officeDocument/2006/customXml" ds:itemID="{3163CB0E-2062-416D-83BA-AA5494188F10}">
  <ds:schemaRefs>
    <ds:schemaRef ds:uri="http://schemas.microsoft.com/sharepoint/v3/contenttype/forms"/>
  </ds:schemaRefs>
</ds:datastoreItem>
</file>

<file path=customXml/itemProps4.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8</cp:revision>
  <cp:lastPrinted>2024-08-16T11:26:00Z</cp:lastPrinted>
  <dcterms:created xsi:type="dcterms:W3CDTF">2025-03-06T14:26:00Z</dcterms:created>
  <dcterms:modified xsi:type="dcterms:W3CDTF">2025-11-05T13:15:56Z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45172c5c-a7f9-460e-98e7-f6d9dca355ea</vt:lpwstr>
  </property>
</Properties>
</file>